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16211C"/>
          <w:sz w:val="30"/>
        </w:rPr>
        <w:t>Your Firm Name</w:t>
      </w:r>
    </w:p>
    <w:p>
      <w:pPr>
        <w:jc w:val="center"/>
      </w:pPr>
      <w:r>
        <w:rPr>
          <w:b/>
          <w:sz w:val="24"/>
        </w:rPr>
        <w:t>Business income tax computation</w:t>
      </w:r>
    </w:p>
    <w:p>
      <w:r>
        <w:rPr>
          <w:sz w:val="17"/>
        </w:rPr>
        <w:t>Client: Test Client    |    Fiscal year: 2082-83    |    Prepared on: 20 August 2026</w:t>
      </w:r>
    </w:p>
    <w:p>
      <w:r>
        <w:rPr>
          <w:b/>
          <w:color w:val="A8202E"/>
          <w:sz w:val="17"/>
        </w:rPr>
        <w:t>Rate verification outstanding: income_tax.presumptive_metro_1_ceiling, income_tax.presumptive_metro_2_ceiling, income_tax.presumptive_metro_3_ceiling, income_tax.donation_cap_pct, income_tax.donation_cap_amount, income_tax.loss_carry_forward_years, income_tax.company_rate_sin_industry, income_tax.company_rate_export, income_tax.company_rate_cooperative, income_tax.loss_carry_forward_years_general, income_tax.loss_carry_forward_years_special. These rates are seeded placeholders. Confirm each against the governing Act and the current Finance Act before this working paper is issued or relied upon.</w:t>
      </w:r>
    </w:p>
    <w:p>
      <w:r>
        <w:t>Presumptive tax under Sec 4 — a turnover-based flat tax elected in place of the standard book-to-tax computation.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4929"/>
        <w:gridCol w:w="4929"/>
      </w:tblGrid>
      <w:tr>
        <w:tc>
          <w:tcPr>
            <w:tcW w:type="dxa" w:w="6520"/>
          </w:tcPr>
          <w:p>
            <w:r/>
            <w:r>
              <w:rPr>
                <w:b/>
                <w:sz w:val="18"/>
              </w:rPr>
              <w:t>Particulars</w:t>
            </w:r>
          </w:p>
        </w:tc>
        <w:tc>
          <w:tcPr>
            <w:tcW w:type="dxa" w:w="2268"/>
          </w:tcPr>
          <w:p>
            <w:r/>
            <w:r>
              <w:rPr>
                <w:b/>
                <w:sz w:val="18"/>
              </w:rPr>
              <w:t>Amount (NPR)</w:t>
            </w:r>
          </w:p>
        </w:tc>
      </w:tr>
      <w:tr>
        <w:tc>
          <w:tcPr>
            <w:tcW w:type="dxa" w:w="6520"/>
          </w:tcPr>
          <w:p>
            <w:r/>
            <w:r>
              <w:rPr>
                <w:sz w:val="18"/>
              </w:rPr>
              <w:t>Turnover</w:t>
            </w:r>
          </w:p>
        </w:tc>
        <w:tc>
          <w:tcPr>
            <w:tcW w:type="dxa" w:w="2268"/>
          </w:tcPr>
          <w:p>
            <w:pPr>
              <w:jc w:val="right"/>
            </w:pPr>
            <w:r/>
            <w:r>
              <w:rPr>
                <w:sz w:val="18"/>
              </w:rPr>
              <w:t>2,800,000.00</w:t>
            </w:r>
          </w:p>
        </w:tc>
      </w:tr>
      <w:tr>
        <w:tc>
          <w:tcPr>
            <w:tcW w:type="dxa" w:w="6520"/>
          </w:tcPr>
          <w:p>
            <w:r/>
            <w:r>
              <w:rPr>
                <w:sz w:val="18"/>
              </w:rPr>
              <w:t>Area category</w:t>
            </w:r>
          </w:p>
        </w:tc>
        <w:tc>
          <w:tcPr>
            <w:tcW w:type="dxa" w:w="2268"/>
          </w:tcPr>
          <w:p>
            <w:r/>
            <w:r>
              <w:rPr>
                <w:sz w:val="18"/>
              </w:rPr>
              <w:t>metro</w:t>
            </w:r>
          </w:p>
        </w:tc>
      </w:tr>
      <w:tr>
        <w:tc>
          <w:tcPr>
            <w:tcW w:type="dxa" w:w="6520"/>
          </w:tcPr>
          <w:p>
            <w:r/>
            <w:r>
              <w:rPr>
                <w:sz w:val="18"/>
              </w:rPr>
              <w:t>Bracket</w:t>
            </w:r>
          </w:p>
        </w:tc>
        <w:tc>
          <w:tcPr>
            <w:tcW w:type="dxa" w:w="2268"/>
          </w:tcPr>
          <w:p>
            <w:r/>
            <w:r>
              <w:rPr>
                <w:sz w:val="18"/>
              </w:rPr>
              <w:t>Presumptive tax — metro, bracket 2</w:t>
            </w:r>
          </w:p>
        </w:tc>
      </w:tr>
      <w:tr>
        <w:tc>
          <w:tcPr>
            <w:tcW w:type="dxa" w:w="6520"/>
          </w:tcPr>
          <w:p>
            <w:r/>
            <w:r>
              <w:rPr>
                <w:sz w:val="18"/>
              </w:rPr>
              <w:t>Flat tax</w:t>
            </w:r>
          </w:p>
        </w:tc>
        <w:tc>
          <w:tcPr>
            <w:tcW w:type="dxa" w:w="2268"/>
          </w:tcPr>
          <w:p>
            <w:pPr>
              <w:jc w:val="right"/>
            </w:pPr>
            <w:r/>
            <w:r>
              <w:rPr>
                <w:sz w:val="18"/>
              </w:rPr>
              <w:t>3,500.00</w:t>
            </w:r>
          </w:p>
        </w:tc>
      </w:tr>
      <w:tr>
        <w:tc>
          <w:tcPr>
            <w:tcW w:type="dxa" w:w="6520"/>
          </w:tcPr>
          <w:p>
            <w:r/>
            <w:r>
              <w:rPr>
                <w:sz w:val="18"/>
              </w:rPr>
              <w:t>Less: TDS credit</w:t>
            </w:r>
          </w:p>
        </w:tc>
        <w:tc>
          <w:tcPr>
            <w:tcW w:type="dxa" w:w="2268"/>
          </w:tcPr>
          <w:p>
            <w:pPr>
              <w:jc w:val="right"/>
            </w:pPr>
            <w:r/>
            <w:r>
              <w:rPr>
                <w:sz w:val="18"/>
              </w:rPr>
              <w:t>-1,000.00</w:t>
            </w:r>
          </w:p>
        </w:tc>
      </w:tr>
      <w:tr>
        <w:tc>
          <w:tcPr>
            <w:tcW w:type="dxa" w:w="6520"/>
          </w:tcPr>
          <w:p>
            <w:r/>
            <w:r>
              <w:rPr>
                <w:sz w:val="18"/>
              </w:rPr>
              <w:t>Less: advance tax paid</w:t>
            </w:r>
          </w:p>
        </w:tc>
        <w:tc>
          <w:tcPr>
            <w:tcW w:type="dxa" w:w="2268"/>
          </w:tcPr>
          <w:p>
            <w:pPr>
              <w:jc w:val="right"/>
            </w:pPr>
            <w:r/>
            <w:r>
              <w:rPr>
                <w:sz w:val="18"/>
              </w:rPr>
              <w:t>–</w:t>
            </w:r>
          </w:p>
        </w:tc>
      </w:tr>
      <w:tr>
        <w:tc>
          <w:tcPr>
            <w:tcW w:type="dxa" w:w="6520"/>
          </w:tcPr>
          <w:p>
            <w:r/>
            <w:r>
              <w:rPr>
                <w:b/>
                <w:sz w:val="18"/>
              </w:rPr>
              <w:t>Net tax payable</w:t>
            </w:r>
          </w:p>
        </w:tc>
        <w:tc>
          <w:tcPr>
            <w:tcW w:type="dxa" w:w="2268"/>
          </w:tcPr>
          <w:p>
            <w:pPr>
              <w:jc w:val="right"/>
            </w:pPr>
            <w:r/>
            <w:r>
              <w:rPr>
                <w:b/>
                <w:sz w:val="18"/>
              </w:rPr>
              <w:t>2,500.00</w:t>
            </w:r>
          </w:p>
        </w:tc>
      </w:tr>
    </w:tbl>
    <w:p/>
    <w:p/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929"/>
        <w:gridCol w:w="4929"/>
      </w:tblGrid>
      <w:tr>
        <w:tc>
          <w:tcPr>
            <w:tcW w:type="dxa" w:w="4929"/>
          </w:tcPr>
          <w:p>
            <w:r>
              <w:rPr>
                <w:b/>
                <w:sz w:val="18"/>
              </w:rPr>
              <w:t>Prepared by</w:t>
            </w:r>
          </w:p>
        </w:tc>
        <w:tc>
          <w:tcPr>
            <w:tcW w:type="dxa" w:w="4929"/>
          </w:tcPr>
          <w:p>
            <w:r>
              <w:rPr>
                <w:b/>
                <w:sz w:val="18"/>
              </w:rPr>
              <w:t>Reviewed by</w:t>
            </w:r>
          </w:p>
        </w:tc>
      </w:tr>
      <w:tr>
        <w:tc>
          <w:tcPr>
            <w:tcW w:type="dxa" w:w="4929"/>
          </w:tcPr>
          <w:p>
            <w:r>
              <w:br/>
              <w:br/>
              <w:t>Name:</w:t>
              <w:br/>
              <w:t>Date:</w:t>
            </w:r>
          </w:p>
        </w:tc>
        <w:tc>
          <w:tcPr>
            <w:tcW w:type="dxa" w:w="4929"/>
          </w:tcPr>
          <w:p>
            <w:r>
              <w:br/>
              <w:br/>
              <w:t>Name:</w:t>
              <w:br/>
              <w:t>Date:</w:t>
            </w:r>
          </w:p>
        </w:tc>
      </w:tr>
    </w:tbl>
    <w:sectPr w:rsidR="00FC693F" w:rsidRPr="0006063C" w:rsidSect="00034616">
      <w:pgSz w:w="12240" w:h="15840"/>
      <w:pgMar w:top="1247" w:right="1134" w:bottom="1134" w:left="124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